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A7" w:rsidRDefault="00321EA7">
      <w:pPr>
        <w:ind w:firstLine="0"/>
        <w:rPr>
          <w:b/>
          <w:u w:val="single"/>
        </w:rPr>
      </w:pPr>
      <w:bookmarkStart w:id="0" w:name="_GoBack"/>
      <w:bookmarkEnd w:id="0"/>
    </w:p>
    <w:p w:rsidR="00321EA7" w:rsidRDefault="00321EA7">
      <w:pPr>
        <w:ind w:firstLine="0"/>
        <w:rPr>
          <w:b/>
          <w:u w:val="single"/>
        </w:rPr>
      </w:pPr>
    </w:p>
    <w:p w:rsidR="00321EA7" w:rsidRDefault="00321EA7">
      <w:pPr>
        <w:ind w:firstLine="0"/>
        <w:rPr>
          <w:b/>
          <w:u w:val="single"/>
        </w:rPr>
      </w:pPr>
    </w:p>
    <w:p w:rsidR="00321EA7" w:rsidRDefault="00321EA7">
      <w:pPr>
        <w:ind w:firstLine="0"/>
        <w:rPr>
          <w:b/>
          <w:u w:val="single"/>
        </w:rPr>
      </w:pPr>
    </w:p>
    <w:p w:rsidR="00321EA7" w:rsidRDefault="00321EA7">
      <w:pPr>
        <w:ind w:firstLine="0"/>
        <w:rPr>
          <w:b/>
          <w:u w:val="single"/>
        </w:rPr>
      </w:pPr>
    </w:p>
    <w:p w:rsidR="00321EA7" w:rsidRDefault="00321EA7">
      <w:pPr>
        <w:rPr>
          <w:b/>
          <w:u w:val="single"/>
        </w:rPr>
      </w:pPr>
    </w:p>
    <w:p w:rsidR="00321EA7" w:rsidRDefault="00321EA7">
      <w:pPr>
        <w:rPr>
          <w:b/>
          <w:u w:val="single"/>
        </w:rPr>
      </w:pPr>
      <w:r>
        <w:rPr>
          <w:b/>
          <w:u w:val="single"/>
        </w:rPr>
        <w:t>Obsah:</w:t>
      </w:r>
    </w:p>
    <w:p w:rsidR="00321EA7" w:rsidRDefault="00321EA7">
      <w:pPr>
        <w:rPr>
          <w:b/>
          <w:sz w:val="28"/>
          <w:u w:val="single"/>
        </w:rPr>
      </w:pPr>
    </w:p>
    <w:p w:rsidR="004666C1" w:rsidRDefault="00AB663E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AB663E">
        <w:rPr>
          <w:b w:val="0"/>
          <w:i w:val="0"/>
          <w:sz w:val="28"/>
          <w:u w:val="single"/>
        </w:rPr>
        <w:fldChar w:fldCharType="begin"/>
      </w:r>
      <w:r w:rsidR="00321EA7">
        <w:rPr>
          <w:b w:val="0"/>
          <w:i w:val="0"/>
          <w:sz w:val="28"/>
          <w:u w:val="single"/>
        </w:rPr>
        <w:instrText xml:space="preserve"> TOC \o "1-4" </w:instrText>
      </w:r>
      <w:r w:rsidRPr="00AB663E">
        <w:rPr>
          <w:b w:val="0"/>
          <w:i w:val="0"/>
          <w:sz w:val="28"/>
          <w:u w:val="single"/>
        </w:rPr>
        <w:fldChar w:fldCharType="separate"/>
      </w:r>
      <w:r w:rsidR="004666C1" w:rsidRPr="0014477A">
        <w:rPr>
          <w:noProof/>
        </w:rPr>
        <w:t>A.</w:t>
      </w:r>
      <w:r w:rsidR="004666C1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="004666C1">
        <w:rPr>
          <w:noProof/>
        </w:rPr>
        <w:t>P R Ů V O D N Í     Z P R Á V A</w:t>
      </w:r>
      <w:r w:rsidR="004666C1">
        <w:rPr>
          <w:noProof/>
        </w:rPr>
        <w:tab/>
      </w:r>
      <w:r>
        <w:rPr>
          <w:noProof/>
        </w:rPr>
        <w:fldChar w:fldCharType="begin"/>
      </w:r>
      <w:r w:rsidR="004666C1">
        <w:rPr>
          <w:noProof/>
        </w:rPr>
        <w:instrText xml:space="preserve"> PAGEREF _Toc389892944 \h </w:instrText>
      </w:r>
      <w:r>
        <w:rPr>
          <w:noProof/>
        </w:rPr>
      </w:r>
      <w:r>
        <w:rPr>
          <w:noProof/>
        </w:rPr>
        <w:fldChar w:fldCharType="separate"/>
      </w:r>
      <w:r w:rsidR="00E83399">
        <w:rPr>
          <w:noProof/>
        </w:rPr>
        <w:t>2</w:t>
      </w:r>
      <w:r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a)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Identifikační údaje stavby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_Toc389892945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2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b)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Údaje o dosavadním využití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_Toc389892946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2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b-a) Údaje o pozemcích a o majetkoprávních vztazích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_Toc389892947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3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c)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údaje o provedených průzkumech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_Toc389892948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3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d)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Informace o splnění požadavků dotčených orgánů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_Toc389892949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3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e)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Informace o držení obecných požadavků na výstavbu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_Toc389892950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3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f)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Údaje o splnění podmínek regulačního plánu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_Toc389892951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3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g)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věcné a časové vazby stavby –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_Toc389892952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3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h)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předpokládaná lhůty výstavby –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_Toc389892953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3</w:t>
      </w:r>
      <w:r w:rsidR="00AB663E">
        <w:rPr>
          <w:noProof/>
        </w:rPr>
        <w:fldChar w:fldCharType="end"/>
      </w:r>
    </w:p>
    <w:p w:rsidR="004666C1" w:rsidRDefault="004666C1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14477A">
        <w:rPr>
          <w:noProof/>
        </w:rPr>
        <w:t>i)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statistické údaje o orientační hodnotě stavby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_Toc389892954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4</w:t>
      </w:r>
      <w:r w:rsidR="00AB663E">
        <w:rPr>
          <w:noProof/>
        </w:rPr>
        <w:fldChar w:fldCharType="end"/>
      </w:r>
    </w:p>
    <w:p w:rsidR="004666C1" w:rsidRDefault="004666C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14477A"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>
        <w:rPr>
          <w:noProof/>
        </w:rPr>
        <w:t>Vyjádření ke stavbě: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_Toc389892955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4</w:t>
      </w:r>
      <w:r w:rsidR="00AB663E">
        <w:rPr>
          <w:noProof/>
        </w:rPr>
        <w:fldChar w:fldCharType="end"/>
      </w:r>
    </w:p>
    <w:p w:rsidR="004666C1" w:rsidRDefault="004666C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14477A"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 w:rsidR="00AB663E">
        <w:rPr>
          <w:noProof/>
        </w:rPr>
        <w:fldChar w:fldCharType="begin"/>
      </w:r>
      <w:r>
        <w:rPr>
          <w:noProof/>
        </w:rPr>
        <w:instrText xml:space="preserve"> PAGEREF _Toc389892956 \h </w:instrText>
      </w:r>
      <w:r w:rsidR="00AB663E">
        <w:rPr>
          <w:noProof/>
        </w:rPr>
      </w:r>
      <w:r w:rsidR="00AB663E">
        <w:rPr>
          <w:noProof/>
        </w:rPr>
        <w:fldChar w:fldCharType="separate"/>
      </w:r>
      <w:r w:rsidR="00E83399">
        <w:rPr>
          <w:noProof/>
        </w:rPr>
        <w:t>4</w:t>
      </w:r>
      <w:r w:rsidR="00AB663E">
        <w:rPr>
          <w:noProof/>
        </w:rPr>
        <w:fldChar w:fldCharType="end"/>
      </w:r>
    </w:p>
    <w:p w:rsidR="00321EA7" w:rsidRDefault="00AB663E">
      <w:pPr>
        <w:spacing w:before="120"/>
        <w:ind w:firstLine="0"/>
        <w:rPr>
          <w:b/>
          <w:sz w:val="22"/>
          <w:u w:val="single"/>
        </w:rPr>
      </w:pPr>
      <w:r>
        <w:rPr>
          <w:b/>
          <w:i/>
          <w:sz w:val="28"/>
          <w:u w:val="single"/>
        </w:rPr>
        <w:fldChar w:fldCharType="end"/>
      </w: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FA675C" w:rsidRDefault="00FA675C">
      <w:pPr>
        <w:jc w:val="center"/>
        <w:rPr>
          <w:b/>
          <w:sz w:val="28"/>
          <w:u w:val="single"/>
        </w:rPr>
      </w:pPr>
    </w:p>
    <w:p w:rsidR="00FA675C" w:rsidRDefault="00FA675C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jc w:val="center"/>
        <w:rPr>
          <w:b/>
          <w:sz w:val="28"/>
          <w:u w:val="single"/>
        </w:rPr>
      </w:pPr>
    </w:p>
    <w:p w:rsidR="00321EA7" w:rsidRDefault="00321EA7">
      <w:pPr>
        <w:pStyle w:val="Nadpis1"/>
        <w:numPr>
          <w:ilvl w:val="0"/>
          <w:numId w:val="10"/>
        </w:numPr>
        <w:jc w:val="center"/>
      </w:pPr>
      <w:bookmarkStart w:id="1" w:name="_Toc389892944"/>
      <w:r>
        <w:lastRenderedPageBreak/>
        <w:t>P R Ů V O D N Í     Z P R Á V A</w:t>
      </w:r>
      <w:bookmarkEnd w:id="1"/>
    </w:p>
    <w:p w:rsidR="00321EA7" w:rsidRDefault="00321EA7">
      <w:pPr>
        <w:rPr>
          <w:u w:val="single"/>
        </w:rPr>
      </w:pPr>
    </w:p>
    <w:p w:rsidR="009F39F1" w:rsidRDefault="009F39F1" w:rsidP="009F39F1">
      <w:pPr>
        <w:pStyle w:val="Nadpis2"/>
        <w:numPr>
          <w:ilvl w:val="0"/>
          <w:numId w:val="11"/>
        </w:numPr>
      </w:pPr>
      <w:bookmarkStart w:id="2" w:name="_Toc361383868"/>
      <w:bookmarkStart w:id="3" w:name="_Toc389892945"/>
      <w:r>
        <w:t>Identifikační údaje stavby</w:t>
      </w:r>
      <w:bookmarkEnd w:id="2"/>
      <w:bookmarkEnd w:id="3"/>
    </w:p>
    <w:p w:rsidR="00CF79A5" w:rsidRDefault="00CF79A5" w:rsidP="00CF79A5"/>
    <w:p w:rsidR="00CF79A5" w:rsidRPr="00CF79A5" w:rsidRDefault="00CF79A5" w:rsidP="00243953">
      <w:pPr>
        <w:ind w:left="3540" w:hanging="2973"/>
      </w:pPr>
      <w:r w:rsidRPr="00CF79A5">
        <w:t xml:space="preserve">Název stavby:  </w:t>
      </w:r>
      <w:r w:rsidRPr="00CF79A5">
        <w:tab/>
      </w:r>
      <w:r w:rsidR="00243953">
        <w:t xml:space="preserve">Prodloužení řadu vodovodu a kanalizace Křižíkova </w:t>
      </w:r>
      <w:r w:rsidR="00234E85">
        <w:t>a Č</w:t>
      </w:r>
      <w:r w:rsidR="00384A94">
        <w:t xml:space="preserve">ernoleská </w:t>
      </w:r>
      <w:r w:rsidR="00243953">
        <w:t>ulice</w:t>
      </w:r>
    </w:p>
    <w:p w:rsidR="00CF79A5" w:rsidRPr="00CF79A5" w:rsidRDefault="00CF79A5" w:rsidP="00CF79A5"/>
    <w:p w:rsidR="00CF79A5" w:rsidRPr="00CF79A5" w:rsidRDefault="00CF79A5" w:rsidP="00CF79A5">
      <w:r w:rsidRPr="00CF79A5">
        <w:t xml:space="preserve">Místo stavby:                </w:t>
      </w:r>
      <w:r w:rsidRPr="00CF79A5">
        <w:tab/>
      </w:r>
      <w:r w:rsidR="00243953">
        <w:t xml:space="preserve">Křižíkova </w:t>
      </w:r>
      <w:r w:rsidR="00384A94">
        <w:t xml:space="preserve">a Černoleská </w:t>
      </w:r>
      <w:r w:rsidR="00243953">
        <w:t>ulice</w:t>
      </w:r>
    </w:p>
    <w:p w:rsidR="00CF79A5" w:rsidRPr="00CF79A5" w:rsidRDefault="00CF79A5" w:rsidP="00CF79A5"/>
    <w:p w:rsidR="00CF79A5" w:rsidRPr="00CF79A5" w:rsidRDefault="00CF79A5" w:rsidP="00CF79A5">
      <w:r w:rsidRPr="00CF79A5">
        <w:t xml:space="preserve">Městský úřad:                      Benešov </w:t>
      </w:r>
    </w:p>
    <w:p w:rsidR="00CF79A5" w:rsidRPr="00CF79A5" w:rsidRDefault="00CF79A5" w:rsidP="00CF79A5"/>
    <w:p w:rsidR="00CF79A5" w:rsidRPr="00CF79A5" w:rsidRDefault="00CF79A5" w:rsidP="00CF79A5">
      <w:r w:rsidRPr="00CF79A5">
        <w:t>Pověřený úřad:                    Benešov</w:t>
      </w:r>
    </w:p>
    <w:p w:rsidR="00CF79A5" w:rsidRPr="00CF79A5" w:rsidRDefault="00CF79A5" w:rsidP="00CF79A5"/>
    <w:p w:rsidR="00CF79A5" w:rsidRPr="00CF79A5" w:rsidRDefault="00CF79A5" w:rsidP="00CF79A5">
      <w:r w:rsidRPr="00CF79A5">
        <w:t xml:space="preserve">Zadavatel:                           Město Benešov, Masarykovo nám.100, 256 01   </w:t>
      </w:r>
    </w:p>
    <w:p w:rsidR="00CF79A5" w:rsidRPr="00CF79A5" w:rsidRDefault="00CF79A5" w:rsidP="00CF79A5">
      <w:r w:rsidRPr="00CF79A5">
        <w:t>Benešov</w:t>
      </w:r>
    </w:p>
    <w:p w:rsidR="00CF79A5" w:rsidRPr="00CF79A5" w:rsidRDefault="00CF79A5" w:rsidP="00CF79A5"/>
    <w:p w:rsidR="00CF79A5" w:rsidRPr="00CF79A5" w:rsidRDefault="00CF79A5" w:rsidP="00CF79A5">
      <w:r w:rsidRPr="00CF79A5">
        <w:t>Zhotovitel projektu:                VODOMONT, Jan Bejček</w:t>
      </w:r>
    </w:p>
    <w:p w:rsidR="00CF79A5" w:rsidRPr="00CF79A5" w:rsidRDefault="00CF79A5" w:rsidP="00CF79A5">
      <w:r w:rsidRPr="00CF79A5">
        <w:t xml:space="preserve">                                              Tyršova 1902</w:t>
      </w:r>
    </w:p>
    <w:p w:rsidR="00C622B1" w:rsidRDefault="00CF79A5" w:rsidP="00CF79A5">
      <w:r w:rsidRPr="00CF79A5">
        <w:t xml:space="preserve">                                              256 01 Benešov</w:t>
      </w:r>
    </w:p>
    <w:p w:rsidR="00610817" w:rsidRPr="00CF79A5" w:rsidRDefault="00610817" w:rsidP="00CF79A5"/>
    <w:p w:rsidR="00CF79A5" w:rsidRPr="00CF79A5" w:rsidRDefault="00CF79A5" w:rsidP="00CF79A5">
      <w:r w:rsidRPr="00CF79A5">
        <w:t xml:space="preserve">ČKAIT:  </w:t>
      </w:r>
      <w:r w:rsidRPr="00CF79A5">
        <w:tab/>
      </w:r>
      <w:r w:rsidRPr="00CF79A5">
        <w:tab/>
      </w:r>
      <w:r w:rsidRPr="00CF79A5">
        <w:tab/>
        <w:t xml:space="preserve"> 0003346, specializace stavby  </w:t>
      </w:r>
    </w:p>
    <w:p w:rsidR="00CF79A5" w:rsidRPr="00CF79A5" w:rsidRDefault="00CF79A5" w:rsidP="00CF79A5">
      <w:r w:rsidRPr="00CF79A5">
        <w:t xml:space="preserve">                                                              zdravotně technické</w:t>
      </w:r>
    </w:p>
    <w:p w:rsidR="00CF79A5" w:rsidRPr="00CF79A5" w:rsidRDefault="00CF79A5" w:rsidP="00CF79A5"/>
    <w:p w:rsidR="00CF79A5" w:rsidRPr="00CF79A5" w:rsidRDefault="00CF79A5" w:rsidP="00CF79A5">
      <w:r w:rsidRPr="00CF79A5">
        <w:t xml:space="preserve">Charakter stavby:                  </w:t>
      </w:r>
      <w:r w:rsidR="00F62F95">
        <w:t>novostavba</w:t>
      </w:r>
    </w:p>
    <w:p w:rsidR="00CF79A5" w:rsidRPr="00CF79A5" w:rsidRDefault="00CF79A5" w:rsidP="00CF79A5"/>
    <w:p w:rsidR="00CF79A5" w:rsidRPr="00CF79A5" w:rsidRDefault="00CF79A5" w:rsidP="00CF79A5">
      <w:r w:rsidRPr="00CF79A5">
        <w:t>Uživatel:                                Město Benešov</w:t>
      </w:r>
    </w:p>
    <w:p w:rsidR="00CF79A5" w:rsidRPr="00CF79A5" w:rsidRDefault="00CF79A5" w:rsidP="00CF79A5"/>
    <w:p w:rsidR="00CF79A5" w:rsidRPr="00CF79A5" w:rsidRDefault="00CF79A5" w:rsidP="00CF79A5">
      <w:r w:rsidRPr="00CF79A5">
        <w:t>Provozovatel:                        Vodohospodářská společnost s.r.o.</w:t>
      </w:r>
    </w:p>
    <w:p w:rsidR="00CF79A5" w:rsidRPr="00CF79A5" w:rsidRDefault="00CF79A5" w:rsidP="00CF79A5">
      <w:r w:rsidRPr="00CF79A5">
        <w:t xml:space="preserve">                                              Benešov, </w:t>
      </w:r>
      <w:r w:rsidR="005B4ACA" w:rsidRPr="00CF79A5">
        <w:t>Černoles</w:t>
      </w:r>
      <w:r w:rsidR="005B4ACA">
        <w:t>k</w:t>
      </w:r>
      <w:r w:rsidR="005B4ACA" w:rsidRPr="00CF79A5">
        <w:t>á</w:t>
      </w:r>
      <w:r w:rsidRPr="00CF79A5">
        <w:t xml:space="preserve"> 1600</w:t>
      </w:r>
    </w:p>
    <w:p w:rsidR="00CF79A5" w:rsidRPr="00CF79A5" w:rsidRDefault="00CF79A5" w:rsidP="00CF79A5"/>
    <w:p w:rsidR="009F39F1" w:rsidRDefault="00CF79A5" w:rsidP="009F39F1">
      <w:pPr>
        <w:rPr>
          <w:color w:val="FF0000"/>
        </w:rPr>
      </w:pPr>
      <w:r w:rsidRPr="00CF79A5">
        <w:t>ČHP:</w:t>
      </w:r>
      <w:r w:rsidRPr="00CF79A5">
        <w:tab/>
      </w:r>
      <w:r w:rsidRPr="00CF79A5">
        <w:tab/>
      </w:r>
      <w:r w:rsidRPr="00CF79A5">
        <w:tab/>
      </w:r>
      <w:r w:rsidRPr="00CF79A5">
        <w:tab/>
        <w:t xml:space="preserve"> 1-09-03-136</w:t>
      </w:r>
    </w:p>
    <w:p w:rsidR="009F39F1" w:rsidRDefault="009F39F1" w:rsidP="009F39F1">
      <w:pPr>
        <w:pStyle w:val="Nadpis2"/>
        <w:numPr>
          <w:ilvl w:val="0"/>
          <w:numId w:val="11"/>
        </w:numPr>
      </w:pPr>
      <w:bookmarkStart w:id="4" w:name="_Toc361383869"/>
      <w:bookmarkStart w:id="5" w:name="_Toc389892946"/>
      <w:r>
        <w:t>Údaje o dosavadním využití</w:t>
      </w:r>
      <w:bookmarkEnd w:id="4"/>
      <w:bookmarkEnd w:id="5"/>
    </w:p>
    <w:p w:rsidR="00031B73" w:rsidRDefault="00031B73" w:rsidP="00031B73"/>
    <w:p w:rsidR="00C65A56" w:rsidRDefault="00685664" w:rsidP="00685664">
      <w:pPr>
        <w:pStyle w:val="Zkladntextodsazen"/>
      </w:pPr>
      <w:r w:rsidRPr="003F29C2">
        <w:t xml:space="preserve">Městský úřad </w:t>
      </w:r>
      <w:r w:rsidR="00C65A56">
        <w:t xml:space="preserve">Benešov </w:t>
      </w:r>
      <w:r w:rsidRPr="003F29C2">
        <w:t xml:space="preserve">objednal u firmy VODOMONT, Jan Bejček, Tyršova 1902, Benešov zpracování </w:t>
      </w:r>
      <w:r>
        <w:t xml:space="preserve">projektové dokumentace pro vydání </w:t>
      </w:r>
      <w:r w:rsidR="00C65A56">
        <w:t xml:space="preserve">jak územního rozhodnutí, tak i </w:t>
      </w:r>
      <w:r>
        <w:t>stavebního povolení na</w:t>
      </w:r>
      <w:r w:rsidR="00A71673">
        <w:t xml:space="preserve"> vodovod a </w:t>
      </w:r>
      <w:r>
        <w:t>kanaliza</w:t>
      </w:r>
      <w:r w:rsidR="00C65A56">
        <w:t xml:space="preserve">ci </w:t>
      </w:r>
      <w:r w:rsidR="00A71673">
        <w:t>v ulici Křižíkova</w:t>
      </w:r>
      <w:r w:rsidR="00384A94">
        <w:t xml:space="preserve"> a </w:t>
      </w:r>
      <w:r w:rsidR="00924CBD">
        <w:t xml:space="preserve">část ulice </w:t>
      </w:r>
      <w:r w:rsidR="00384A94">
        <w:t>Černoleská</w:t>
      </w:r>
    </w:p>
    <w:p w:rsidR="00A71673" w:rsidRDefault="00465EB2" w:rsidP="001F54C2">
      <w:pPr>
        <w:pStyle w:val="Zkladntextodsazen"/>
      </w:pPr>
      <w:r>
        <w:t xml:space="preserve">V ulici </w:t>
      </w:r>
      <w:r w:rsidR="00A71673">
        <w:t>Křižíkova je z části uložena stávající jednotná kanalizace</w:t>
      </w:r>
      <w:r w:rsidR="003335C5">
        <w:t xml:space="preserve">, která začíná na parkovišti, </w:t>
      </w:r>
      <w:r w:rsidR="00A71673">
        <w:t xml:space="preserve">před firmu SÚS Benešov, kde je lomová kanalizační revizní šachta. </w:t>
      </w:r>
      <w:r w:rsidR="003335C5">
        <w:t>Stávající potrubí je z PVC profil DN 500 mm.</w:t>
      </w:r>
    </w:p>
    <w:p w:rsidR="00A71673" w:rsidRDefault="003335C5" w:rsidP="001F54C2">
      <w:pPr>
        <w:pStyle w:val="Zkladntextodsazen"/>
      </w:pPr>
      <w:r>
        <w:t xml:space="preserve">Stávající vodovod je </w:t>
      </w:r>
      <w:r w:rsidR="00FB3CB0">
        <w:t>uložen v Křižíkovi ulici od křižovatky na obytnou čtvrť</w:t>
      </w:r>
      <w:r w:rsidR="00C622B1">
        <w:t xml:space="preserve"> Mariánovice, a směrem do města po pravé straně směrem do centra města.</w:t>
      </w:r>
    </w:p>
    <w:p w:rsidR="008F0D2C" w:rsidRDefault="008F0D2C" w:rsidP="0027311F">
      <w:pPr>
        <w:pStyle w:val="Zkladntextodsazen"/>
      </w:pPr>
    </w:p>
    <w:p w:rsidR="00370066" w:rsidRDefault="00321EA7">
      <w:pPr>
        <w:ind w:left="142" w:firstLine="425"/>
      </w:pPr>
      <w:r>
        <w:t xml:space="preserve">Vybudované </w:t>
      </w:r>
      <w:r w:rsidR="00455ECF">
        <w:t xml:space="preserve">vodohospodářské </w:t>
      </w:r>
      <w:r>
        <w:t xml:space="preserve">dílo bude provozováno jako součást </w:t>
      </w:r>
    </w:p>
    <w:p w:rsidR="00321EA7" w:rsidRDefault="00321EA7">
      <w:pPr>
        <w:ind w:left="142" w:firstLine="425"/>
      </w:pPr>
      <w:r>
        <w:t xml:space="preserve">stávajícího vodovodu </w:t>
      </w:r>
      <w:r w:rsidR="00455ECF">
        <w:t xml:space="preserve">a kanalizace </w:t>
      </w:r>
      <w:r>
        <w:t>v </w:t>
      </w:r>
      <w:r w:rsidR="0027311F">
        <w:t>Benešově</w:t>
      </w:r>
      <w:r w:rsidR="005E3EB9">
        <w:t>.</w:t>
      </w:r>
    </w:p>
    <w:p w:rsidR="00321EA7" w:rsidRDefault="00321EA7">
      <w:r>
        <w:t xml:space="preserve">Nárůst pracovníků není třeba.    </w:t>
      </w:r>
    </w:p>
    <w:p w:rsidR="00455ECF" w:rsidRDefault="00321EA7">
      <w:r>
        <w:t xml:space="preserve">Majitelem dokončené stavby bude </w:t>
      </w:r>
      <w:r w:rsidR="00636A2E">
        <w:t>Měst</w:t>
      </w:r>
      <w:r w:rsidR="0027311F">
        <w:t>o Benešov</w:t>
      </w:r>
      <w:r>
        <w:t>.</w:t>
      </w:r>
    </w:p>
    <w:p w:rsidR="00321EA7" w:rsidRDefault="00321EA7" w:rsidP="00060D71">
      <w:pPr>
        <w:pStyle w:val="Nadpis2"/>
        <w:numPr>
          <w:ilvl w:val="0"/>
          <w:numId w:val="0"/>
        </w:numPr>
      </w:pPr>
      <w:bookmarkStart w:id="6" w:name="_Toc389892947"/>
      <w:r>
        <w:lastRenderedPageBreak/>
        <w:t>b-a) Údaje o pozemcích a o majetkoprávních vztazích</w:t>
      </w:r>
      <w:bookmarkEnd w:id="6"/>
    </w:p>
    <w:p w:rsidR="0027311F" w:rsidRDefault="0027311F" w:rsidP="00FD00A3">
      <w:pPr>
        <w:ind w:left="567" w:firstLine="0"/>
      </w:pPr>
    </w:p>
    <w:p w:rsidR="0027311F" w:rsidRDefault="0027311F" w:rsidP="00FD00A3">
      <w:pPr>
        <w:ind w:left="567" w:firstLine="0"/>
      </w:pPr>
      <w:r>
        <w:t>3</w:t>
      </w:r>
      <w:r w:rsidR="00C622B1">
        <w:t>400/1</w:t>
      </w:r>
    </w:p>
    <w:p w:rsidR="0027311F" w:rsidRDefault="0027311F" w:rsidP="00FD00A3">
      <w:pPr>
        <w:ind w:left="567" w:firstLine="0"/>
      </w:pPr>
      <w:r>
        <w:t>Město Benešov, Masarykovo náměstí 100, 25601 Benešov</w:t>
      </w:r>
    </w:p>
    <w:p w:rsidR="00384A94" w:rsidRDefault="00384A94" w:rsidP="00FD00A3">
      <w:pPr>
        <w:ind w:left="567" w:firstLine="0"/>
      </w:pPr>
    </w:p>
    <w:p w:rsidR="00384A94" w:rsidRDefault="00384A94" w:rsidP="00FD00A3">
      <w:pPr>
        <w:ind w:left="567" w:firstLine="0"/>
      </w:pPr>
      <w:r>
        <w:t>2319/22</w:t>
      </w:r>
    </w:p>
    <w:p w:rsidR="00826165" w:rsidRDefault="00826165" w:rsidP="00FD00A3">
      <w:pPr>
        <w:ind w:left="567" w:firstLine="0"/>
      </w:pPr>
      <w:r>
        <w:t>Středočeský kraj, Zborovská 81/11, Smíchov, 15000 Praha 5</w:t>
      </w:r>
    </w:p>
    <w:p w:rsidR="0027311F" w:rsidRDefault="00826165" w:rsidP="00FD00A3">
      <w:pPr>
        <w:ind w:left="567" w:firstLine="0"/>
      </w:pPr>
      <w:r>
        <w:t>Krajská správa a údržba silnic Středočeského kraje, příspěvková organizace, Zborovská 81/11, Smíchov, 15000 Praha 5</w:t>
      </w:r>
    </w:p>
    <w:p w:rsidR="00826165" w:rsidRDefault="00826165" w:rsidP="00FD00A3">
      <w:pPr>
        <w:ind w:left="567" w:firstLine="0"/>
      </w:pPr>
    </w:p>
    <w:p w:rsidR="00321EA7" w:rsidRDefault="00321EA7">
      <w:pPr>
        <w:pStyle w:val="Nadpis2"/>
        <w:numPr>
          <w:ilvl w:val="0"/>
          <w:numId w:val="11"/>
        </w:numPr>
      </w:pPr>
      <w:bookmarkStart w:id="7" w:name="_Toc389892948"/>
      <w:r>
        <w:t>údaje o provedených průzkumech</w:t>
      </w:r>
      <w:bookmarkEnd w:id="7"/>
    </w:p>
    <w:p w:rsidR="00321EA7" w:rsidRDefault="00321EA7">
      <w:pPr>
        <w:ind w:left="1080" w:firstLine="0"/>
      </w:pPr>
    </w:p>
    <w:p w:rsidR="00321EA7" w:rsidRDefault="00321EA7" w:rsidP="00610817">
      <w:pPr>
        <w:pStyle w:val="Zkladntextodsazen"/>
        <w:ind w:firstLine="0"/>
      </w:pPr>
      <w:r>
        <w:t>Průzkumy</w:t>
      </w:r>
      <w:r w:rsidR="00571398">
        <w:t>, geologické sondy</w:t>
      </w:r>
      <w:r>
        <w:t xml:space="preserve"> nejsou prováděny, </w:t>
      </w:r>
      <w:r w:rsidR="00571398">
        <w:t xml:space="preserve">zatřídění zeminy </w:t>
      </w:r>
      <w:r w:rsidR="005E3EB9">
        <w:t>bude</w:t>
      </w:r>
      <w:r w:rsidR="00571398">
        <w:t xml:space="preserve"> na základě okolní </w:t>
      </w:r>
      <w:r w:rsidR="00C622B1">
        <w:t xml:space="preserve">stavební </w:t>
      </w:r>
      <w:r w:rsidR="00571398">
        <w:t>výstavby.</w:t>
      </w:r>
      <w:r w:rsidR="00386843">
        <w:t xml:space="preserve"> Byl</w:t>
      </w:r>
      <w:r w:rsidR="00C622B1">
        <w:t>o</w:t>
      </w:r>
      <w:r w:rsidR="00386843">
        <w:t xml:space="preserve"> proveden</w:t>
      </w:r>
      <w:r w:rsidR="00C622B1">
        <w:t xml:space="preserve">o </w:t>
      </w:r>
      <w:r w:rsidR="00386843">
        <w:t xml:space="preserve">pouze </w:t>
      </w:r>
      <w:r w:rsidR="00C622B1">
        <w:t>podrobné zaměření a to jak výškového tak i polohopisného v JSTK</w:t>
      </w:r>
      <w:r w:rsidR="00386843">
        <w:t>.</w:t>
      </w:r>
    </w:p>
    <w:p w:rsidR="00321EA7" w:rsidRDefault="00321EA7">
      <w:pPr>
        <w:pStyle w:val="Nadpis2"/>
        <w:numPr>
          <w:ilvl w:val="0"/>
          <w:numId w:val="11"/>
        </w:numPr>
      </w:pPr>
      <w:bookmarkStart w:id="8" w:name="_Toc389892949"/>
      <w:r>
        <w:t>Informace o splnění požadavků dotčených orgánů</w:t>
      </w:r>
      <w:bookmarkEnd w:id="8"/>
    </w:p>
    <w:p w:rsidR="00321EA7" w:rsidRDefault="00321EA7">
      <w:pPr>
        <w:ind w:left="284" w:firstLine="283"/>
      </w:pPr>
    </w:p>
    <w:p w:rsidR="00321EA7" w:rsidRDefault="00321EA7" w:rsidP="002A6030">
      <w:pPr>
        <w:ind w:left="284" w:firstLine="283"/>
      </w:pPr>
      <w:r>
        <w:t xml:space="preserve">V zájmovém území </w:t>
      </w:r>
      <w:r w:rsidR="00571398">
        <w:t>navržené</w:t>
      </w:r>
      <w:r w:rsidR="00C622B1">
        <w:t xml:space="preserve">ho vodovodního řadu tak i </w:t>
      </w:r>
      <w:r w:rsidR="00571398">
        <w:t xml:space="preserve">kanalizační stoky </w:t>
      </w:r>
      <w:r>
        <w:t>jsou</w:t>
      </w:r>
      <w:r w:rsidR="00826165">
        <w:t xml:space="preserve"> </w:t>
      </w:r>
      <w:r>
        <w:t>požadavky dotčených orgánů</w:t>
      </w:r>
      <w:r w:rsidR="00E84718">
        <w:t xml:space="preserve"> respektovány.</w:t>
      </w:r>
    </w:p>
    <w:p w:rsidR="00321EA7" w:rsidRDefault="00321EA7">
      <w:pPr>
        <w:pStyle w:val="Nadpis2"/>
        <w:numPr>
          <w:ilvl w:val="0"/>
          <w:numId w:val="11"/>
        </w:numPr>
      </w:pPr>
      <w:bookmarkStart w:id="9" w:name="_Toc389892950"/>
      <w:r>
        <w:t>Informace o držení obecných požadavků na výstavbu</w:t>
      </w:r>
      <w:bookmarkEnd w:id="9"/>
    </w:p>
    <w:p w:rsidR="00321EA7" w:rsidRDefault="00321EA7"/>
    <w:p w:rsidR="00321EA7" w:rsidRDefault="00321EA7" w:rsidP="00924CBD">
      <w:pPr>
        <w:ind w:left="284" w:firstLine="283"/>
      </w:pPr>
      <w:r>
        <w:t>Při stavbě nové</w:t>
      </w:r>
      <w:r w:rsidR="00C622B1">
        <w:t xml:space="preserve">ho vodovodu a </w:t>
      </w:r>
      <w:r w:rsidR="002A6030">
        <w:t xml:space="preserve">kanalizace </w:t>
      </w:r>
      <w:r>
        <w:t>budou dodrženy veškeré vodohospodářské předpisy a normy</w:t>
      </w:r>
    </w:p>
    <w:p w:rsidR="00321EA7" w:rsidRDefault="00321EA7">
      <w:pPr>
        <w:pStyle w:val="Nadpis2"/>
        <w:numPr>
          <w:ilvl w:val="0"/>
          <w:numId w:val="11"/>
        </w:numPr>
      </w:pPr>
      <w:bookmarkStart w:id="10" w:name="_Toc389892951"/>
      <w:r>
        <w:t>Údaje o splnění podmínek regulačního plánu</w:t>
      </w:r>
      <w:bookmarkEnd w:id="10"/>
    </w:p>
    <w:p w:rsidR="00321EA7" w:rsidRDefault="00321EA7"/>
    <w:p w:rsidR="00321EA7" w:rsidRDefault="00321EA7" w:rsidP="002A6030">
      <w:pPr>
        <w:ind w:left="1135" w:hanging="568"/>
      </w:pPr>
      <w:r>
        <w:t xml:space="preserve">netýká se této </w:t>
      </w:r>
      <w:r w:rsidR="00610817">
        <w:t>stavby vodovodu</w:t>
      </w:r>
      <w:r w:rsidR="00826165">
        <w:t xml:space="preserve"> a </w:t>
      </w:r>
      <w:r w:rsidR="00571398">
        <w:t>kanalizace</w:t>
      </w:r>
      <w:r>
        <w:t>-nejsou předmětem zájmů</w:t>
      </w:r>
    </w:p>
    <w:p w:rsidR="00321EA7" w:rsidRDefault="00321EA7">
      <w:pPr>
        <w:pStyle w:val="Nadpis2"/>
        <w:numPr>
          <w:ilvl w:val="0"/>
          <w:numId w:val="11"/>
        </w:numPr>
      </w:pPr>
      <w:bookmarkStart w:id="11" w:name="_Toc389892952"/>
      <w:r>
        <w:t>věcné a časové vazby stavby –</w:t>
      </w:r>
      <w:bookmarkEnd w:id="11"/>
    </w:p>
    <w:p w:rsidR="00FF4794" w:rsidRPr="00FF4794" w:rsidRDefault="00FF4794" w:rsidP="00FF4794"/>
    <w:p w:rsidR="00321EA7" w:rsidRDefault="00FF4794" w:rsidP="00FF4794">
      <w:pPr>
        <w:pStyle w:val="Odstavecseseznamem"/>
        <w:ind w:left="360" w:firstLine="0"/>
      </w:pPr>
      <w:r>
        <w:t>na finančním zajištění výstavby vodovodního řadu a kanalizační stoky -zajišťuje investor stavby</w:t>
      </w:r>
      <w:r w:rsidR="00826165">
        <w:t xml:space="preserve"> - Město Benešov</w:t>
      </w:r>
    </w:p>
    <w:p w:rsidR="00321EA7" w:rsidRDefault="00234E85">
      <w:pPr>
        <w:pStyle w:val="Nadpis2"/>
        <w:numPr>
          <w:ilvl w:val="0"/>
          <w:numId w:val="11"/>
        </w:numPr>
      </w:pPr>
      <w:bookmarkStart w:id="12" w:name="_Toc389892953"/>
      <w:r>
        <w:t>předpokládaná lhůta</w:t>
      </w:r>
      <w:r w:rsidR="00321EA7">
        <w:t xml:space="preserve"> výstavby –</w:t>
      </w:r>
      <w:bookmarkEnd w:id="12"/>
    </w:p>
    <w:p w:rsidR="00FF4794" w:rsidRPr="00FF4794" w:rsidRDefault="00FF4794" w:rsidP="00FF4794"/>
    <w:p w:rsidR="00FF4794" w:rsidRDefault="00FF4794" w:rsidP="00FF4794">
      <w:pPr>
        <w:pStyle w:val="Odstavecseseznamem"/>
        <w:ind w:left="360" w:firstLine="0"/>
      </w:pPr>
      <w:r>
        <w:t xml:space="preserve">Délka nového prodlužovaného vodovodního řadu je 162 m, kanalizační stoka je navržena v délce 410 m, na trase jsou navrženy betonové revizní šachty v počtu </w:t>
      </w:r>
      <w:r w:rsidR="00826165">
        <w:t>1</w:t>
      </w:r>
      <w:r w:rsidR="00924CBD">
        <w:t>1</w:t>
      </w:r>
      <w:r>
        <w:t xml:space="preserve"> ks, </w:t>
      </w:r>
      <w:r w:rsidR="00826165">
        <w:t>a to v ulici Křižíkova, v ulici Černoleská je navržena kanalizace v délce 50 m, zaústění je do stoky CL1-1 v ulici Křižíkova. S</w:t>
      </w:r>
      <w:r>
        <w:t xml:space="preserve">oučástí výstavby kanalizace je i odvodnění místní části komunikace a to pomocí </w:t>
      </w:r>
      <w:r w:rsidRPr="000D5460">
        <w:t xml:space="preserve"> uliční</w:t>
      </w:r>
      <w:r>
        <w:t>ch</w:t>
      </w:r>
      <w:r w:rsidRPr="000D5460">
        <w:t xml:space="preserve"> vpusti v počtu </w:t>
      </w:r>
      <w:r>
        <w:t>16</w:t>
      </w:r>
      <w:r w:rsidRPr="000D5460">
        <w:t xml:space="preserve"> ks</w:t>
      </w:r>
      <w:r>
        <w:t xml:space="preserve">, které budou zaústěny do </w:t>
      </w:r>
      <w:r w:rsidR="00610817">
        <w:t xml:space="preserve">trasy kanalizace, v těsné blízkosti </w:t>
      </w:r>
      <w:r>
        <w:t>revizních betonových šachet</w:t>
      </w:r>
      <w:r w:rsidRPr="000D5460">
        <w:t>.</w:t>
      </w:r>
    </w:p>
    <w:p w:rsidR="00321EA7" w:rsidRDefault="00321EA7"/>
    <w:p w:rsidR="00FF4794" w:rsidRDefault="00220700" w:rsidP="005E3EB9">
      <w:pPr>
        <w:ind w:left="360" w:hanging="76"/>
      </w:pPr>
      <w:r>
        <w:lastRenderedPageBreak/>
        <w:t>L</w:t>
      </w:r>
      <w:r w:rsidR="00321EA7">
        <w:t xml:space="preserve">hůta výstavby </w:t>
      </w:r>
      <w:r w:rsidR="00060D71">
        <w:t xml:space="preserve">bude </w:t>
      </w:r>
      <w:r w:rsidR="00321EA7">
        <w:t xml:space="preserve">náročná, </w:t>
      </w:r>
      <w:r w:rsidR="00060D71">
        <w:t xml:space="preserve">k vzhledem </w:t>
      </w:r>
      <w:r w:rsidR="00FF4794">
        <w:t xml:space="preserve">k provozu na této komunikaci, která zajišťuje jeden z přístupu do nové čtvrti města zvané Mariánovice, kde je jak rodinná výstavba tak i průmyslová.  </w:t>
      </w:r>
      <w:r w:rsidR="00610817">
        <w:t>Ke stavbě  bude vypracováno DIO.</w:t>
      </w:r>
    </w:p>
    <w:p w:rsidR="007809F5" w:rsidRDefault="005E3EB9" w:rsidP="005E3EB9">
      <w:pPr>
        <w:ind w:left="360" w:hanging="76"/>
      </w:pPr>
      <w:r>
        <w:t>D</w:t>
      </w:r>
      <w:r w:rsidR="00321EA7">
        <w:t xml:space="preserve">élka výstavby </w:t>
      </w:r>
      <w:r>
        <w:t>cca</w:t>
      </w:r>
      <w:r w:rsidR="00FF4794">
        <w:t>1 rok</w:t>
      </w:r>
      <w:r w:rsidR="00321EA7">
        <w:t xml:space="preserve">. </w:t>
      </w:r>
    </w:p>
    <w:p w:rsidR="005A689A" w:rsidRDefault="005A689A" w:rsidP="005E3EB9">
      <w:pPr>
        <w:ind w:left="360" w:hanging="76"/>
      </w:pPr>
    </w:p>
    <w:p w:rsidR="005A689A" w:rsidRDefault="005A689A" w:rsidP="005E3EB9">
      <w:pPr>
        <w:ind w:left="360" w:hanging="76"/>
      </w:pPr>
      <w:r>
        <w:t>Rozdělení stavby na dvě etapy:</w:t>
      </w:r>
    </w:p>
    <w:p w:rsidR="005A689A" w:rsidRDefault="005A689A" w:rsidP="005E3EB9">
      <w:pPr>
        <w:ind w:left="360" w:hanging="76"/>
      </w:pPr>
    </w:p>
    <w:p w:rsidR="005A689A" w:rsidRDefault="00635BEA" w:rsidP="005E3EB9">
      <w:pPr>
        <w:ind w:left="360" w:hanging="76"/>
      </w:pPr>
      <w:r>
        <w:t>Stavba je</w:t>
      </w:r>
      <w:r w:rsidR="005A689A">
        <w:t xml:space="preserve"> rozdělena na dvě etapy.</w:t>
      </w:r>
    </w:p>
    <w:p w:rsidR="005A689A" w:rsidRDefault="005A689A" w:rsidP="005E3EB9">
      <w:pPr>
        <w:ind w:left="360" w:hanging="76"/>
      </w:pPr>
      <w:r>
        <w:t xml:space="preserve">První etapa bude od střediska SÚS Benešov v délce </w:t>
      </w:r>
      <w:r w:rsidR="00635BEA">
        <w:t>200 m, ukončení první etapy</w:t>
      </w:r>
      <w:r>
        <w:t xml:space="preserve"> v revizní </w:t>
      </w:r>
      <w:r w:rsidR="00234E85">
        <w:t>šachtě Š</w:t>
      </w:r>
      <w:r w:rsidR="00C1435C">
        <w:t>4</w:t>
      </w:r>
    </w:p>
    <w:p w:rsidR="00C1435C" w:rsidRDefault="00234E85" w:rsidP="005E3EB9">
      <w:pPr>
        <w:ind w:left="360" w:hanging="76"/>
      </w:pPr>
      <w:r>
        <w:t>Druhá etapa</w:t>
      </w:r>
      <w:r w:rsidR="00635BEA">
        <w:t xml:space="preserve"> v délce cca 210 m</w:t>
      </w:r>
      <w:r>
        <w:t xml:space="preserve"> </w:t>
      </w:r>
      <w:proofErr w:type="gramStart"/>
      <w:r>
        <w:t>bude</w:t>
      </w:r>
      <w:r w:rsidR="00635BEA">
        <w:t xml:space="preserve"> </w:t>
      </w:r>
      <w:r>
        <w:t xml:space="preserve"> pokračovat</w:t>
      </w:r>
      <w:proofErr w:type="gramEnd"/>
      <w:r>
        <w:t xml:space="preserve"> od</w:t>
      </w:r>
      <w:r w:rsidR="00635BEA">
        <w:t xml:space="preserve"> šachty</w:t>
      </w:r>
      <w:r>
        <w:t xml:space="preserve"> Š 4 po koncovou šachtu Š 8 s odbočením v šachtě Š 5 do ulice Černoleská s ukončením v šachtě Š 5a </w:t>
      </w:r>
      <w:r w:rsidR="00635BEA">
        <w:t>s délkou cca 50 m.</w:t>
      </w:r>
    </w:p>
    <w:p w:rsidR="005A689A" w:rsidRDefault="005A689A" w:rsidP="005E3EB9">
      <w:pPr>
        <w:ind w:left="360" w:hanging="76"/>
      </w:pPr>
      <w:r>
        <w:t xml:space="preserve"> </w:t>
      </w:r>
    </w:p>
    <w:p w:rsidR="00321EA7" w:rsidRDefault="00321EA7">
      <w:pPr>
        <w:pStyle w:val="Nadpis2"/>
        <w:numPr>
          <w:ilvl w:val="0"/>
          <w:numId w:val="11"/>
        </w:numPr>
      </w:pPr>
      <w:bookmarkStart w:id="13" w:name="_Toc389892954"/>
      <w:r>
        <w:t>statistické údaje o orientační hodnotě stavby</w:t>
      </w:r>
      <w:bookmarkEnd w:id="13"/>
    </w:p>
    <w:p w:rsidR="00321EA7" w:rsidRDefault="00321EA7">
      <w:pPr>
        <w:ind w:left="360" w:firstLine="0"/>
      </w:pPr>
    </w:p>
    <w:p w:rsidR="00321EA7" w:rsidRDefault="00321EA7" w:rsidP="0009080F">
      <w:pPr>
        <w:ind w:left="360" w:firstLine="491"/>
      </w:pPr>
      <w:r>
        <w:t xml:space="preserve">Orientační propočet </w:t>
      </w:r>
      <w:r w:rsidR="00FF4794">
        <w:t xml:space="preserve">jak vodovodního řadu tak i </w:t>
      </w:r>
      <w:r w:rsidR="007809F5">
        <w:t xml:space="preserve">kanalizačního </w:t>
      </w:r>
      <w:r w:rsidR="00FF4794">
        <w:t>stoky</w:t>
      </w:r>
      <w:r>
        <w:t xml:space="preserve"> dle projektanta je </w:t>
      </w:r>
      <w:r w:rsidR="00924CBD">
        <w:t>1</w:t>
      </w:r>
      <w:r w:rsidR="00635BEA">
        <w:t>4</w:t>
      </w:r>
      <w:r w:rsidR="00924CBD">
        <w:t>-1</w:t>
      </w:r>
      <w:r w:rsidR="00635BEA">
        <w:t>6</w:t>
      </w:r>
      <w:r w:rsidR="00924CBD">
        <w:t xml:space="preserve"> </w:t>
      </w:r>
      <w:proofErr w:type="gramStart"/>
      <w:r w:rsidR="003E2F3A">
        <w:t>mil.Kč</w:t>
      </w:r>
      <w:proofErr w:type="gramEnd"/>
      <w:r>
        <w:t xml:space="preserve">   V PD ke stavebnímu povolení </w:t>
      </w:r>
      <w:r w:rsidR="00D02ED6">
        <w:t>j</w:t>
      </w:r>
      <w:r>
        <w:t>e zpracován výkaz výměr a podrobný rozpočet.</w:t>
      </w:r>
    </w:p>
    <w:p w:rsidR="00673022" w:rsidRDefault="00673022" w:rsidP="0009080F">
      <w:pPr>
        <w:ind w:left="360" w:firstLine="491"/>
      </w:pPr>
    </w:p>
    <w:p w:rsidR="00321EA7" w:rsidRDefault="00321EA7">
      <w:pPr>
        <w:pStyle w:val="Nadpis1"/>
      </w:pPr>
      <w:bookmarkStart w:id="14" w:name="_Toc389892955"/>
      <w:r>
        <w:t>Vyjádření ke stavbě:</w:t>
      </w:r>
      <w:bookmarkEnd w:id="14"/>
    </w:p>
    <w:p w:rsidR="009B3073" w:rsidRPr="003E2F3A" w:rsidRDefault="009B3073">
      <w:pPr>
        <w:ind w:firstLine="0"/>
        <w:rPr>
          <w:color w:val="FF0000"/>
        </w:rPr>
      </w:pPr>
    </w:p>
    <w:p w:rsidR="00673022" w:rsidRDefault="00673022" w:rsidP="00673022">
      <w:pPr>
        <w:ind w:left="567"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1.  </w:t>
      </w:r>
      <w:r w:rsidRPr="00FB557E">
        <w:rPr>
          <w:rFonts w:cs="Arial"/>
          <w:szCs w:val="24"/>
        </w:rPr>
        <w:t>Čez Distribuce, a.s. č.j.0101</w:t>
      </w:r>
      <w:r>
        <w:rPr>
          <w:rFonts w:cs="Arial"/>
          <w:szCs w:val="24"/>
        </w:rPr>
        <w:t>620425</w:t>
      </w:r>
      <w:r w:rsidRPr="00FB557E">
        <w:rPr>
          <w:rFonts w:cs="Arial"/>
          <w:szCs w:val="24"/>
        </w:rPr>
        <w:t xml:space="preserve"> ze dne  </w:t>
      </w:r>
      <w:r>
        <w:rPr>
          <w:rFonts w:cs="Arial"/>
          <w:szCs w:val="24"/>
        </w:rPr>
        <w:t>18.10.</w:t>
      </w:r>
      <w:r w:rsidRPr="00FB557E">
        <w:rPr>
          <w:rFonts w:cs="Arial"/>
          <w:szCs w:val="24"/>
        </w:rPr>
        <w:t>.20</w:t>
      </w:r>
      <w:r>
        <w:rPr>
          <w:rFonts w:cs="Arial"/>
          <w:szCs w:val="24"/>
        </w:rPr>
        <w:t>2</w:t>
      </w:r>
      <w:r w:rsidRPr="00FB557E">
        <w:rPr>
          <w:rFonts w:cs="Arial"/>
          <w:szCs w:val="24"/>
        </w:rPr>
        <w:t>1</w:t>
      </w:r>
    </w:p>
    <w:p w:rsidR="00673022" w:rsidRPr="00E37D82" w:rsidRDefault="00673022" w:rsidP="00673022">
      <w:pPr>
        <w:rPr>
          <w:rFonts w:cs="Arial"/>
          <w:szCs w:val="24"/>
        </w:rPr>
      </w:pPr>
      <w:r>
        <w:rPr>
          <w:rFonts w:cs="Arial"/>
          <w:szCs w:val="24"/>
        </w:rPr>
        <w:t xml:space="preserve">2.  </w:t>
      </w:r>
      <w:r w:rsidRPr="00E37D82">
        <w:rPr>
          <w:rFonts w:cs="Arial"/>
          <w:szCs w:val="24"/>
        </w:rPr>
        <w:t>ČezTelco Pro Services, a.s. č.j.020</w:t>
      </w:r>
      <w:r>
        <w:rPr>
          <w:rFonts w:cs="Arial"/>
          <w:szCs w:val="24"/>
        </w:rPr>
        <w:t>1317235</w:t>
      </w:r>
      <w:r w:rsidRPr="00E37D82">
        <w:rPr>
          <w:rFonts w:cs="Arial"/>
          <w:szCs w:val="24"/>
        </w:rPr>
        <w:t xml:space="preserve"> ze dne </w:t>
      </w:r>
      <w:r>
        <w:rPr>
          <w:rFonts w:cs="Arial"/>
          <w:szCs w:val="24"/>
        </w:rPr>
        <w:t>18.10.</w:t>
      </w:r>
      <w:r w:rsidRPr="00E37D82">
        <w:rPr>
          <w:rFonts w:cs="Arial"/>
          <w:szCs w:val="24"/>
        </w:rPr>
        <w:t>20</w:t>
      </w:r>
      <w:r>
        <w:rPr>
          <w:rFonts w:cs="Arial"/>
          <w:szCs w:val="24"/>
        </w:rPr>
        <w:t>2</w:t>
      </w:r>
      <w:r w:rsidRPr="00E37D82">
        <w:rPr>
          <w:rFonts w:cs="Arial"/>
          <w:szCs w:val="24"/>
        </w:rPr>
        <w:t>1</w:t>
      </w:r>
    </w:p>
    <w:p w:rsidR="00673022" w:rsidRPr="00FB557E" w:rsidRDefault="00673022" w:rsidP="00673022">
      <w:pPr>
        <w:rPr>
          <w:rFonts w:cs="Arial"/>
          <w:szCs w:val="24"/>
        </w:rPr>
      </w:pPr>
      <w:r>
        <w:rPr>
          <w:rFonts w:cs="Arial"/>
          <w:szCs w:val="24"/>
        </w:rPr>
        <w:t xml:space="preserve">3.  </w:t>
      </w:r>
      <w:r w:rsidRPr="00FB557E">
        <w:rPr>
          <w:rFonts w:cs="Arial"/>
          <w:szCs w:val="24"/>
        </w:rPr>
        <w:t>Čez ICT Services, a.s. č.j.0</w:t>
      </w:r>
      <w:r>
        <w:rPr>
          <w:rFonts w:cs="Arial"/>
          <w:szCs w:val="24"/>
        </w:rPr>
        <w:t>700455944</w:t>
      </w:r>
      <w:r w:rsidRPr="00FB557E">
        <w:rPr>
          <w:rFonts w:cs="Arial"/>
          <w:szCs w:val="24"/>
        </w:rPr>
        <w:t xml:space="preserve"> ze dne </w:t>
      </w:r>
      <w:r>
        <w:rPr>
          <w:rFonts w:cs="Arial"/>
          <w:szCs w:val="24"/>
        </w:rPr>
        <w:t>18.10</w:t>
      </w:r>
      <w:r w:rsidRPr="00FB557E">
        <w:rPr>
          <w:rFonts w:cs="Arial"/>
          <w:szCs w:val="24"/>
        </w:rPr>
        <w:t>.20</w:t>
      </w:r>
      <w:r>
        <w:rPr>
          <w:rFonts w:cs="Arial"/>
          <w:szCs w:val="24"/>
        </w:rPr>
        <w:t>2</w:t>
      </w:r>
      <w:r w:rsidRPr="00FB557E">
        <w:rPr>
          <w:rFonts w:cs="Arial"/>
          <w:szCs w:val="24"/>
        </w:rPr>
        <w:t>1</w:t>
      </w:r>
    </w:p>
    <w:p w:rsidR="00673022" w:rsidRPr="001342A7" w:rsidRDefault="00673022" w:rsidP="00673022">
      <w:pPr>
        <w:rPr>
          <w:rFonts w:cs="Arial"/>
          <w:szCs w:val="24"/>
        </w:rPr>
      </w:pPr>
      <w:r w:rsidRPr="001342A7">
        <w:rPr>
          <w:rFonts w:cs="Arial"/>
          <w:szCs w:val="24"/>
        </w:rPr>
        <w:t>4.  CETIN,a.s. Olšanská 2681/6, Praha 3, 130 00,č.j.</w:t>
      </w:r>
      <w:r>
        <w:rPr>
          <w:rFonts w:cs="Arial"/>
          <w:szCs w:val="24"/>
        </w:rPr>
        <w:t>877233/21</w:t>
      </w:r>
      <w:r w:rsidRPr="001342A7">
        <w:rPr>
          <w:rFonts w:cs="Arial"/>
          <w:szCs w:val="24"/>
        </w:rPr>
        <w:t xml:space="preserve"> ze dne        </w:t>
      </w:r>
    </w:p>
    <w:p w:rsidR="00673022" w:rsidRPr="001342A7" w:rsidRDefault="00673022" w:rsidP="00673022">
      <w:pPr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                                                                  7.12.2021</w:t>
      </w:r>
    </w:p>
    <w:p w:rsidR="00673022" w:rsidRPr="002132EF" w:rsidRDefault="00673022" w:rsidP="00673022">
      <w:pPr>
        <w:rPr>
          <w:rFonts w:cs="Arial"/>
          <w:color w:val="FF0000"/>
          <w:szCs w:val="24"/>
        </w:rPr>
      </w:pPr>
      <w:r w:rsidRPr="00695531">
        <w:rPr>
          <w:rFonts w:cs="Arial"/>
          <w:szCs w:val="24"/>
        </w:rPr>
        <w:t>5.  GasNet s.r.o. č.j. 500</w:t>
      </w:r>
      <w:r>
        <w:rPr>
          <w:rFonts w:cs="Arial"/>
          <w:szCs w:val="24"/>
        </w:rPr>
        <w:t xml:space="preserve">2514588 </w:t>
      </w:r>
      <w:r w:rsidRPr="00695531">
        <w:rPr>
          <w:rFonts w:cs="Arial"/>
          <w:szCs w:val="24"/>
        </w:rPr>
        <w:t xml:space="preserve"> ze dne 1</w:t>
      </w:r>
      <w:r>
        <w:rPr>
          <w:rFonts w:cs="Arial"/>
          <w:szCs w:val="24"/>
        </w:rPr>
        <w:t>3</w:t>
      </w:r>
      <w:r w:rsidRPr="00695531">
        <w:rPr>
          <w:rFonts w:cs="Arial"/>
          <w:szCs w:val="24"/>
        </w:rPr>
        <w:t>.</w:t>
      </w:r>
      <w:r>
        <w:rPr>
          <w:rFonts w:cs="Arial"/>
          <w:szCs w:val="24"/>
        </w:rPr>
        <w:t>12</w:t>
      </w:r>
      <w:r w:rsidRPr="00695531">
        <w:rPr>
          <w:rFonts w:cs="Arial"/>
          <w:szCs w:val="24"/>
        </w:rPr>
        <w:t>.20</w:t>
      </w:r>
      <w:r>
        <w:rPr>
          <w:rFonts w:cs="Arial"/>
          <w:szCs w:val="24"/>
        </w:rPr>
        <w:t>2</w:t>
      </w:r>
      <w:r w:rsidRPr="00695531">
        <w:rPr>
          <w:rFonts w:cs="Arial"/>
          <w:szCs w:val="24"/>
        </w:rPr>
        <w:t>1</w:t>
      </w:r>
    </w:p>
    <w:p w:rsidR="00673022" w:rsidRDefault="00673022" w:rsidP="00673022">
      <w:pPr>
        <w:rPr>
          <w:rFonts w:cs="Arial"/>
          <w:color w:val="FF0000"/>
          <w:szCs w:val="24"/>
        </w:rPr>
      </w:pPr>
    </w:p>
    <w:p w:rsidR="00673022" w:rsidRDefault="00673022" w:rsidP="00673022">
      <w:pPr>
        <w:rPr>
          <w:rFonts w:cs="Arial"/>
          <w:color w:val="FF0000"/>
          <w:szCs w:val="24"/>
        </w:rPr>
      </w:pPr>
    </w:p>
    <w:p w:rsidR="00321EA7" w:rsidRDefault="00321EA7">
      <w:pPr>
        <w:pStyle w:val="Nadpis1"/>
      </w:pPr>
      <w:bookmarkStart w:id="15" w:name="_Toc389892956"/>
      <w:r>
        <w:t>Závěr</w:t>
      </w:r>
      <w:bookmarkEnd w:id="15"/>
    </w:p>
    <w:p w:rsidR="00321EA7" w:rsidRDefault="00321EA7"/>
    <w:p w:rsidR="008F3C25" w:rsidRDefault="00321EA7" w:rsidP="005C2797">
      <w:pPr>
        <w:pStyle w:val="Zkladntextodsazen"/>
      </w:pPr>
      <w:r>
        <w:t xml:space="preserve">Navrženou výstavbou </w:t>
      </w:r>
      <w:r w:rsidR="00FF4794">
        <w:t xml:space="preserve">nového vodovodního řadu a </w:t>
      </w:r>
      <w:r w:rsidR="008F3C25">
        <w:t>kanalizační</w:t>
      </w:r>
      <w:r w:rsidR="003E2F3A">
        <w:t xml:space="preserve"> stoky</w:t>
      </w:r>
      <w:r w:rsidR="00FF4794">
        <w:t xml:space="preserve"> do schválené průmyslové z</w:t>
      </w:r>
      <w:r w:rsidR="00662A90">
        <w:t xml:space="preserve">óny města Benešov, bude </w:t>
      </w:r>
      <w:r w:rsidR="00E41D4A">
        <w:t>zajištěna</w:t>
      </w:r>
      <w:r w:rsidR="00662A90">
        <w:t xml:space="preserve"> dodávka pitné vody a současně zajištěno odvodnění jak místní komunikace a tak i nově vznikající firmy.</w:t>
      </w:r>
    </w:p>
    <w:p w:rsidR="00EE4D59" w:rsidRDefault="00EE4D59" w:rsidP="005C2797">
      <w:pPr>
        <w:pStyle w:val="Zkladntextodsazen"/>
      </w:pPr>
    </w:p>
    <w:p w:rsidR="00EE4D59" w:rsidRDefault="00EE4D59" w:rsidP="005C2797">
      <w:pPr>
        <w:pStyle w:val="Zkladntextodsazen"/>
      </w:pPr>
    </w:p>
    <w:p w:rsidR="00EE4D59" w:rsidRDefault="00EE4D59" w:rsidP="005C2797">
      <w:pPr>
        <w:pStyle w:val="Zkladntextodsazen"/>
      </w:pPr>
    </w:p>
    <w:p w:rsidR="005C2797" w:rsidRDefault="008F3C25" w:rsidP="005C2797">
      <w:pPr>
        <w:pStyle w:val="Zkladntextodsazen"/>
      </w:pPr>
      <w:r>
        <w:t xml:space="preserve">. </w:t>
      </w:r>
    </w:p>
    <w:p w:rsidR="00381B0A" w:rsidRDefault="00381B0A" w:rsidP="005C2797">
      <w:pPr>
        <w:pStyle w:val="Zkladntextodsazen"/>
      </w:pPr>
    </w:p>
    <w:p w:rsidR="00E11283" w:rsidRPr="00E41D4A" w:rsidRDefault="00055B5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Červen 2022</w:t>
      </w:r>
      <w:r w:rsidR="00FF4794" w:rsidRPr="00E41D4A">
        <w:rPr>
          <w:rFonts w:ascii="Times New Roman" w:hAnsi="Times New Roman"/>
          <w:b/>
          <w:sz w:val="32"/>
          <w:szCs w:val="32"/>
        </w:rPr>
        <w:t xml:space="preserve"> </w:t>
      </w:r>
    </w:p>
    <w:sectPr w:rsidR="00E11283" w:rsidRPr="00E41D4A" w:rsidSect="007F63D6">
      <w:headerReference w:type="default" r:id="rId7"/>
      <w:footerReference w:type="even" r:id="rId8"/>
      <w:footerReference w:type="default" r:id="rId9"/>
      <w:pgSz w:w="11907" w:h="16840" w:code="9"/>
      <w:pgMar w:top="1418" w:right="1417" w:bottom="1701" w:left="1871" w:header="708" w:footer="1162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5DD" w:rsidRDefault="00EF05DD">
      <w:r>
        <w:separator/>
      </w:r>
    </w:p>
  </w:endnote>
  <w:endnote w:type="continuationSeparator" w:id="1">
    <w:p w:rsidR="00EF05DD" w:rsidRDefault="00EF0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A7" w:rsidRDefault="00AB663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21EA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1EA7">
      <w:rPr>
        <w:rStyle w:val="slostrnky"/>
        <w:noProof/>
      </w:rPr>
      <w:t>20</w:t>
    </w:r>
    <w:r>
      <w:rPr>
        <w:rStyle w:val="slostrnky"/>
      </w:rPr>
      <w:fldChar w:fldCharType="end"/>
    </w:r>
  </w:p>
  <w:p w:rsidR="00321EA7" w:rsidRDefault="00321EA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A7" w:rsidRDefault="00AB663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21EA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5294C">
      <w:rPr>
        <w:rStyle w:val="slostrnky"/>
        <w:noProof/>
      </w:rPr>
      <w:t>4</w:t>
    </w:r>
    <w:r>
      <w:rPr>
        <w:rStyle w:val="slostrnky"/>
      </w:rPr>
      <w:fldChar w:fldCharType="end"/>
    </w:r>
  </w:p>
  <w:p w:rsidR="00321EA7" w:rsidRDefault="00321EA7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5DD" w:rsidRDefault="00EF05DD">
      <w:r>
        <w:separator/>
      </w:r>
    </w:p>
  </w:footnote>
  <w:footnote w:type="continuationSeparator" w:id="1">
    <w:p w:rsidR="00EF05DD" w:rsidRDefault="00EF05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A7" w:rsidRDefault="00321EA7">
    <w:pPr>
      <w:pStyle w:val="Zhlav"/>
      <w:jc w:val="right"/>
    </w:pPr>
    <w:r>
      <w:t xml:space="preserve">A - Průvodní  zpráva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B80BA3"/>
    <w:multiLevelType w:val="hybridMultilevel"/>
    <w:tmpl w:val="34365078"/>
    <w:lvl w:ilvl="0" w:tplc="8A16FF5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14650A9"/>
    <w:multiLevelType w:val="singleLevel"/>
    <w:tmpl w:val="5EC8B3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2C556C76"/>
    <w:multiLevelType w:val="hybridMultilevel"/>
    <w:tmpl w:val="676CF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D5AAE"/>
    <w:multiLevelType w:val="hybridMultilevel"/>
    <w:tmpl w:val="21FE77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55E96"/>
    <w:multiLevelType w:val="hybridMultilevel"/>
    <w:tmpl w:val="1AAEF67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C2C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90003D"/>
    <w:multiLevelType w:val="hybridMultilevel"/>
    <w:tmpl w:val="3F78356E"/>
    <w:lvl w:ilvl="0" w:tplc="DE8ADC04">
      <w:start w:val="2"/>
      <w:numFmt w:val="lowerLetter"/>
      <w:lvlText w:val="%1)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507A3153"/>
    <w:multiLevelType w:val="hybridMultilevel"/>
    <w:tmpl w:val="B190619C"/>
    <w:lvl w:ilvl="0" w:tplc="4C3E65AA">
      <w:start w:val="3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A4D53"/>
    <w:multiLevelType w:val="singleLevel"/>
    <w:tmpl w:val="55C49B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5F61542B"/>
    <w:multiLevelType w:val="hybridMultilevel"/>
    <w:tmpl w:val="881292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D5929"/>
    <w:multiLevelType w:val="singleLevel"/>
    <w:tmpl w:val="68C27A6C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12">
    <w:nsid w:val="73334B45"/>
    <w:multiLevelType w:val="hybridMultilevel"/>
    <w:tmpl w:val="0EA2E1B2"/>
    <w:lvl w:ilvl="0" w:tplc="2D36CB54">
      <w:start w:val="2"/>
      <w:numFmt w:val="bullet"/>
      <w:lvlText w:val="–"/>
      <w:lvlJc w:val="left"/>
      <w:pPr>
        <w:tabs>
          <w:tab w:val="num" w:pos="1917"/>
        </w:tabs>
        <w:ind w:left="19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637"/>
        </w:tabs>
        <w:ind w:left="26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57"/>
        </w:tabs>
        <w:ind w:left="33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77"/>
        </w:tabs>
        <w:ind w:left="40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97"/>
        </w:tabs>
        <w:ind w:left="47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17"/>
        </w:tabs>
        <w:ind w:left="55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237"/>
        </w:tabs>
        <w:ind w:left="62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57"/>
        </w:tabs>
        <w:ind w:left="69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77"/>
        </w:tabs>
        <w:ind w:left="7677" w:hanging="360"/>
      </w:pPr>
      <w:rPr>
        <w:rFonts w:ascii="Wingdings" w:hAnsi="Wingdings" w:hint="default"/>
      </w:rPr>
    </w:lvl>
  </w:abstractNum>
  <w:abstractNum w:abstractNumId="13">
    <w:nsid w:val="7A776F50"/>
    <w:multiLevelType w:val="hybridMultilevel"/>
    <w:tmpl w:val="9062A538"/>
    <w:lvl w:ilvl="0" w:tplc="0164A5F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>
    <w:abstractNumId w:val="9"/>
  </w:num>
  <w:num w:numId="6">
    <w:abstractNumId w:val="12"/>
  </w:num>
  <w:num w:numId="7">
    <w:abstractNumId w:val="6"/>
  </w:num>
  <w:num w:numId="8">
    <w:abstractNumId w:val="2"/>
  </w:num>
  <w:num w:numId="9">
    <w:abstractNumId w:val="7"/>
  </w:num>
  <w:num w:numId="10">
    <w:abstractNumId w:val="10"/>
  </w:num>
  <w:num w:numId="11">
    <w:abstractNumId w:val="5"/>
  </w:num>
  <w:num w:numId="12">
    <w:abstractNumId w:val="1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9A4"/>
    <w:rsid w:val="0001287F"/>
    <w:rsid w:val="00030F62"/>
    <w:rsid w:val="00031B73"/>
    <w:rsid w:val="0005294C"/>
    <w:rsid w:val="00055B55"/>
    <w:rsid w:val="00060D71"/>
    <w:rsid w:val="00085176"/>
    <w:rsid w:val="0008766A"/>
    <w:rsid w:val="0009080F"/>
    <w:rsid w:val="000A661B"/>
    <w:rsid w:val="000B352A"/>
    <w:rsid w:val="000C14A4"/>
    <w:rsid w:val="000D33B0"/>
    <w:rsid w:val="000E5C24"/>
    <w:rsid w:val="00103C6B"/>
    <w:rsid w:val="00164269"/>
    <w:rsid w:val="00167C37"/>
    <w:rsid w:val="001A6AB8"/>
    <w:rsid w:val="001B581A"/>
    <w:rsid w:val="001C08AD"/>
    <w:rsid w:val="001F54C2"/>
    <w:rsid w:val="00203AF7"/>
    <w:rsid w:val="00216BF4"/>
    <w:rsid w:val="00220700"/>
    <w:rsid w:val="00234E85"/>
    <w:rsid w:val="002423D8"/>
    <w:rsid w:val="00243953"/>
    <w:rsid w:val="00244B2A"/>
    <w:rsid w:val="002523CD"/>
    <w:rsid w:val="002526AE"/>
    <w:rsid w:val="0027311F"/>
    <w:rsid w:val="00297EEA"/>
    <w:rsid w:val="002A6030"/>
    <w:rsid w:val="002B5123"/>
    <w:rsid w:val="002B6366"/>
    <w:rsid w:val="00321EA7"/>
    <w:rsid w:val="003335C5"/>
    <w:rsid w:val="0033632E"/>
    <w:rsid w:val="00340911"/>
    <w:rsid w:val="003457B4"/>
    <w:rsid w:val="00357237"/>
    <w:rsid w:val="00370066"/>
    <w:rsid w:val="0037217F"/>
    <w:rsid w:val="00381B0A"/>
    <w:rsid w:val="00384A94"/>
    <w:rsid w:val="003862F3"/>
    <w:rsid w:val="00386843"/>
    <w:rsid w:val="00397BD9"/>
    <w:rsid w:val="003B1FD9"/>
    <w:rsid w:val="003B4408"/>
    <w:rsid w:val="003E2AE1"/>
    <w:rsid w:val="003E2F3A"/>
    <w:rsid w:val="003F5301"/>
    <w:rsid w:val="00403E75"/>
    <w:rsid w:val="00420130"/>
    <w:rsid w:val="00434E71"/>
    <w:rsid w:val="00435BC1"/>
    <w:rsid w:val="00444EBA"/>
    <w:rsid w:val="00455ECF"/>
    <w:rsid w:val="00465EB2"/>
    <w:rsid w:val="004666C1"/>
    <w:rsid w:val="00493517"/>
    <w:rsid w:val="004A4CFF"/>
    <w:rsid w:val="004A51D9"/>
    <w:rsid w:val="004B2CFF"/>
    <w:rsid w:val="004B4C16"/>
    <w:rsid w:val="004C6E27"/>
    <w:rsid w:val="004E1BFB"/>
    <w:rsid w:val="004F10BF"/>
    <w:rsid w:val="00502977"/>
    <w:rsid w:val="00571398"/>
    <w:rsid w:val="00586BFB"/>
    <w:rsid w:val="00596BAB"/>
    <w:rsid w:val="005A689A"/>
    <w:rsid w:val="005B4ACA"/>
    <w:rsid w:val="005C2797"/>
    <w:rsid w:val="005D2003"/>
    <w:rsid w:val="005D5954"/>
    <w:rsid w:val="005E3EB9"/>
    <w:rsid w:val="005E4BB2"/>
    <w:rsid w:val="005F0F8D"/>
    <w:rsid w:val="005F1523"/>
    <w:rsid w:val="00610817"/>
    <w:rsid w:val="00617443"/>
    <w:rsid w:val="00635BEA"/>
    <w:rsid w:val="00636A2E"/>
    <w:rsid w:val="00644547"/>
    <w:rsid w:val="0065674A"/>
    <w:rsid w:val="00660802"/>
    <w:rsid w:val="00662A90"/>
    <w:rsid w:val="006707FE"/>
    <w:rsid w:val="00673022"/>
    <w:rsid w:val="00685664"/>
    <w:rsid w:val="00687EF0"/>
    <w:rsid w:val="006A0867"/>
    <w:rsid w:val="006A430B"/>
    <w:rsid w:val="007001D8"/>
    <w:rsid w:val="00700C96"/>
    <w:rsid w:val="00731B4D"/>
    <w:rsid w:val="0073769C"/>
    <w:rsid w:val="00742A20"/>
    <w:rsid w:val="00756101"/>
    <w:rsid w:val="0076004E"/>
    <w:rsid w:val="007723BC"/>
    <w:rsid w:val="007809F5"/>
    <w:rsid w:val="00783D3F"/>
    <w:rsid w:val="00795C7F"/>
    <w:rsid w:val="007A149F"/>
    <w:rsid w:val="007A4C2A"/>
    <w:rsid w:val="007D345A"/>
    <w:rsid w:val="007F63D6"/>
    <w:rsid w:val="008241B2"/>
    <w:rsid w:val="00826165"/>
    <w:rsid w:val="008341BD"/>
    <w:rsid w:val="00835B38"/>
    <w:rsid w:val="00842F2C"/>
    <w:rsid w:val="00861CE7"/>
    <w:rsid w:val="008639AC"/>
    <w:rsid w:val="008868B9"/>
    <w:rsid w:val="00890F73"/>
    <w:rsid w:val="008937EF"/>
    <w:rsid w:val="008B619B"/>
    <w:rsid w:val="008B7529"/>
    <w:rsid w:val="008D5079"/>
    <w:rsid w:val="008E5163"/>
    <w:rsid w:val="008F0D2C"/>
    <w:rsid w:val="008F3C25"/>
    <w:rsid w:val="008F46A9"/>
    <w:rsid w:val="00924CBD"/>
    <w:rsid w:val="00933FE1"/>
    <w:rsid w:val="009660B2"/>
    <w:rsid w:val="00997892"/>
    <w:rsid w:val="009A1F03"/>
    <w:rsid w:val="009A4CC5"/>
    <w:rsid w:val="009B3073"/>
    <w:rsid w:val="009B5BDB"/>
    <w:rsid w:val="009D29A4"/>
    <w:rsid w:val="009F3133"/>
    <w:rsid w:val="009F39F1"/>
    <w:rsid w:val="009F7310"/>
    <w:rsid w:val="00A0355E"/>
    <w:rsid w:val="00A1094D"/>
    <w:rsid w:val="00A22933"/>
    <w:rsid w:val="00A433A1"/>
    <w:rsid w:val="00A64FEF"/>
    <w:rsid w:val="00A71673"/>
    <w:rsid w:val="00A826BE"/>
    <w:rsid w:val="00A92906"/>
    <w:rsid w:val="00AA38F9"/>
    <w:rsid w:val="00AA5DA5"/>
    <w:rsid w:val="00AA742E"/>
    <w:rsid w:val="00AB663E"/>
    <w:rsid w:val="00AC1B3B"/>
    <w:rsid w:val="00AC6C59"/>
    <w:rsid w:val="00AC7A7B"/>
    <w:rsid w:val="00AD2742"/>
    <w:rsid w:val="00AE3472"/>
    <w:rsid w:val="00AE791C"/>
    <w:rsid w:val="00AF1023"/>
    <w:rsid w:val="00B15CF1"/>
    <w:rsid w:val="00B167E5"/>
    <w:rsid w:val="00B31690"/>
    <w:rsid w:val="00B336E7"/>
    <w:rsid w:val="00B54C4B"/>
    <w:rsid w:val="00B9066C"/>
    <w:rsid w:val="00B9345D"/>
    <w:rsid w:val="00BB4E15"/>
    <w:rsid w:val="00BD0944"/>
    <w:rsid w:val="00BD7367"/>
    <w:rsid w:val="00BF3722"/>
    <w:rsid w:val="00C100A5"/>
    <w:rsid w:val="00C1435C"/>
    <w:rsid w:val="00C622B1"/>
    <w:rsid w:val="00C65A56"/>
    <w:rsid w:val="00C91EB2"/>
    <w:rsid w:val="00CB0B65"/>
    <w:rsid w:val="00CB77AB"/>
    <w:rsid w:val="00CD1660"/>
    <w:rsid w:val="00CF37F8"/>
    <w:rsid w:val="00CF3F2D"/>
    <w:rsid w:val="00CF79A5"/>
    <w:rsid w:val="00D02ED6"/>
    <w:rsid w:val="00D156FF"/>
    <w:rsid w:val="00D219BE"/>
    <w:rsid w:val="00D33C2F"/>
    <w:rsid w:val="00D34804"/>
    <w:rsid w:val="00D3770D"/>
    <w:rsid w:val="00D55A61"/>
    <w:rsid w:val="00D66215"/>
    <w:rsid w:val="00D73207"/>
    <w:rsid w:val="00DA3C7A"/>
    <w:rsid w:val="00DA78BA"/>
    <w:rsid w:val="00DC5B8A"/>
    <w:rsid w:val="00DE432A"/>
    <w:rsid w:val="00DE5505"/>
    <w:rsid w:val="00DF645A"/>
    <w:rsid w:val="00E0631E"/>
    <w:rsid w:val="00E11283"/>
    <w:rsid w:val="00E41D4A"/>
    <w:rsid w:val="00E749F2"/>
    <w:rsid w:val="00E83399"/>
    <w:rsid w:val="00E84718"/>
    <w:rsid w:val="00EB57D3"/>
    <w:rsid w:val="00EC13B4"/>
    <w:rsid w:val="00EE4D59"/>
    <w:rsid w:val="00EE6102"/>
    <w:rsid w:val="00EE7D77"/>
    <w:rsid w:val="00EF05DD"/>
    <w:rsid w:val="00F04853"/>
    <w:rsid w:val="00F34B88"/>
    <w:rsid w:val="00F40EF3"/>
    <w:rsid w:val="00F466DE"/>
    <w:rsid w:val="00F53C20"/>
    <w:rsid w:val="00F62A00"/>
    <w:rsid w:val="00F62F95"/>
    <w:rsid w:val="00F9357E"/>
    <w:rsid w:val="00F956FB"/>
    <w:rsid w:val="00FA675C"/>
    <w:rsid w:val="00FB0957"/>
    <w:rsid w:val="00FB3CB0"/>
    <w:rsid w:val="00FD00A3"/>
    <w:rsid w:val="00FD34A7"/>
    <w:rsid w:val="00FD6E3C"/>
    <w:rsid w:val="00FE63FE"/>
    <w:rsid w:val="00FE7B07"/>
    <w:rsid w:val="00FF1831"/>
    <w:rsid w:val="00FF4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63D6"/>
    <w:pPr>
      <w:ind w:firstLine="567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7F63D6"/>
    <w:pPr>
      <w:keepNext/>
      <w:numPr>
        <w:numId w:val="1"/>
      </w:numPr>
      <w:spacing w:before="240" w:after="60"/>
      <w:ind w:firstLine="0"/>
      <w:jc w:val="left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qFormat/>
    <w:rsid w:val="007F63D6"/>
    <w:pPr>
      <w:keepNext/>
      <w:numPr>
        <w:ilvl w:val="1"/>
        <w:numId w:val="1"/>
      </w:numPr>
      <w:spacing w:before="240" w:after="60"/>
      <w:ind w:firstLine="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7F63D6"/>
    <w:pPr>
      <w:keepNext/>
      <w:numPr>
        <w:ilvl w:val="2"/>
        <w:numId w:val="1"/>
      </w:numPr>
      <w:spacing w:before="240" w:after="60"/>
      <w:ind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F63D6"/>
    <w:pPr>
      <w:keepNext/>
      <w:numPr>
        <w:ilvl w:val="3"/>
        <w:numId w:val="1"/>
      </w:numPr>
      <w:spacing w:before="240" w:after="60"/>
      <w:ind w:firstLine="0"/>
      <w:outlineLvl w:val="3"/>
    </w:pPr>
  </w:style>
  <w:style w:type="paragraph" w:styleId="Nadpis5">
    <w:name w:val="heading 5"/>
    <w:basedOn w:val="Normln"/>
    <w:next w:val="Normln"/>
    <w:qFormat/>
    <w:rsid w:val="007F63D6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7F63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rsid w:val="007F63D6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F63D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7F63D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7F63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F63D6"/>
  </w:style>
  <w:style w:type="paragraph" w:styleId="Zhlav">
    <w:name w:val="header"/>
    <w:basedOn w:val="Normln"/>
    <w:semiHidden/>
    <w:rsid w:val="007F63D6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rsid w:val="007F63D6"/>
    <w:pPr>
      <w:tabs>
        <w:tab w:val="right" w:leader="underscore" w:pos="8221"/>
      </w:tabs>
      <w:spacing w:before="120"/>
      <w:ind w:firstLine="0"/>
    </w:pPr>
    <w:rPr>
      <w:rFonts w:ascii="Times New Roman" w:hAnsi="Times New Roman"/>
      <w:b/>
      <w:i/>
    </w:rPr>
  </w:style>
  <w:style w:type="paragraph" w:styleId="Obsah2">
    <w:name w:val="toc 2"/>
    <w:basedOn w:val="Normln"/>
    <w:next w:val="Normln"/>
    <w:uiPriority w:val="39"/>
    <w:rsid w:val="007F63D6"/>
    <w:pPr>
      <w:tabs>
        <w:tab w:val="right" w:leader="underscore" w:pos="8221"/>
      </w:tabs>
      <w:spacing w:before="120"/>
      <w:ind w:left="200"/>
    </w:pPr>
    <w:rPr>
      <w:rFonts w:ascii="Times New Roman" w:hAnsi="Times New Roman"/>
      <w:b/>
      <w:sz w:val="22"/>
    </w:rPr>
  </w:style>
  <w:style w:type="paragraph" w:styleId="Obsah3">
    <w:name w:val="toc 3"/>
    <w:basedOn w:val="Normln"/>
    <w:next w:val="Normln"/>
    <w:semiHidden/>
    <w:rsid w:val="007F63D6"/>
    <w:pPr>
      <w:tabs>
        <w:tab w:val="right" w:leader="underscore" w:pos="8221"/>
      </w:tabs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semiHidden/>
    <w:rsid w:val="007F63D6"/>
    <w:pPr>
      <w:tabs>
        <w:tab w:val="right" w:leader="underscore" w:pos="8221"/>
      </w:tabs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semiHidden/>
    <w:rsid w:val="007F63D6"/>
    <w:pPr>
      <w:tabs>
        <w:tab w:val="right" w:leader="underscore" w:pos="8221"/>
      </w:tabs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7F63D6"/>
    <w:pPr>
      <w:tabs>
        <w:tab w:val="right" w:leader="underscore" w:pos="8221"/>
      </w:tabs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7F63D6"/>
    <w:pPr>
      <w:tabs>
        <w:tab w:val="right" w:leader="underscore" w:pos="8221"/>
      </w:tabs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7F63D6"/>
    <w:pPr>
      <w:tabs>
        <w:tab w:val="right" w:leader="underscore" w:pos="8221"/>
      </w:tabs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7F63D6"/>
    <w:pPr>
      <w:tabs>
        <w:tab w:val="right" w:leader="underscore" w:pos="8221"/>
      </w:tabs>
      <w:ind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semiHidden/>
    <w:rsid w:val="007F63D6"/>
    <w:rPr>
      <w:sz w:val="16"/>
    </w:rPr>
  </w:style>
  <w:style w:type="paragraph" w:styleId="Textkomente">
    <w:name w:val="annotation text"/>
    <w:basedOn w:val="Normln"/>
    <w:semiHidden/>
    <w:rsid w:val="007F63D6"/>
    <w:rPr>
      <w:rFonts w:ascii="Times New Roman" w:hAnsi="Times New Roman"/>
    </w:rPr>
  </w:style>
  <w:style w:type="paragraph" w:styleId="Seznamobrzk">
    <w:name w:val="table of figures"/>
    <w:basedOn w:val="Normln"/>
    <w:next w:val="Normln"/>
    <w:semiHidden/>
    <w:rsid w:val="007F63D6"/>
    <w:pPr>
      <w:tabs>
        <w:tab w:val="right" w:leader="dot" w:pos="8221"/>
      </w:tabs>
      <w:ind w:left="480" w:hanging="480"/>
    </w:pPr>
  </w:style>
  <w:style w:type="paragraph" w:styleId="Zkladntextodsazen">
    <w:name w:val="Body Text Indent"/>
    <w:basedOn w:val="Normln"/>
    <w:semiHidden/>
    <w:rsid w:val="007F63D6"/>
    <w:pPr>
      <w:ind w:left="284" w:firstLine="283"/>
    </w:pPr>
  </w:style>
  <w:style w:type="paragraph" w:styleId="Zkladntextodsazen2">
    <w:name w:val="Body Text Indent 2"/>
    <w:basedOn w:val="Normln"/>
    <w:semiHidden/>
    <w:rsid w:val="007F63D6"/>
    <w:pPr>
      <w:ind w:left="993" w:hanging="426"/>
    </w:pPr>
  </w:style>
  <w:style w:type="paragraph" w:styleId="Zkladntextodsazen3">
    <w:name w:val="Body Text Indent 3"/>
    <w:basedOn w:val="Normln"/>
    <w:semiHidden/>
    <w:rsid w:val="007F63D6"/>
    <w:pPr>
      <w:ind w:left="851" w:hanging="284"/>
    </w:pPr>
  </w:style>
  <w:style w:type="paragraph" w:styleId="Odstavecseseznamem">
    <w:name w:val="List Paragraph"/>
    <w:basedOn w:val="Normln"/>
    <w:qFormat/>
    <w:rsid w:val="007F63D6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9F39F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9F39F1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518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53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9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89453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21117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9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62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1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92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61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9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790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18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2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813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50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758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  TECHNICKÁ    ZPRÁVA</vt:lpstr>
    </vt:vector>
  </TitlesOfParts>
  <Company>VODOMONT</Company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  TECHNICKÁ    ZPRÁVA</dc:title>
  <dc:creator>Jan Bejček</dc:creator>
  <cp:lastModifiedBy>Jan</cp:lastModifiedBy>
  <cp:revision>4</cp:revision>
  <cp:lastPrinted>2022-08-08T11:02:00Z</cp:lastPrinted>
  <dcterms:created xsi:type="dcterms:W3CDTF">2022-08-05T11:13:00Z</dcterms:created>
  <dcterms:modified xsi:type="dcterms:W3CDTF">2022-08-08T11:31:00Z</dcterms:modified>
</cp:coreProperties>
</file>